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4BDAF" w14:textId="77777777" w:rsidR="00A740FB" w:rsidRPr="001A40E2" w:rsidRDefault="00A740FB" w:rsidP="00A740FB">
      <w:pPr>
        <w:spacing w:after="180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Explaining bubbles observed during boiling</w:t>
      </w:r>
    </w:p>
    <w:p w14:paraId="78413028" w14:textId="0C29A750" w:rsidR="00D72B86" w:rsidRDefault="00C7091C" w:rsidP="00A740FB">
      <w:pPr>
        <w:spacing w:after="180"/>
      </w:pPr>
      <w:r>
        <w:t>Sequence</w:t>
      </w:r>
      <w:r w:rsidR="00D72B86">
        <w:t xml:space="preserve"> the statements below to create an </w:t>
      </w:r>
      <w:r w:rsidR="00D72B86" w:rsidRPr="00D72B86">
        <w:t>explanation of how bubbles form when water boils in a kettle.</w:t>
      </w:r>
    </w:p>
    <w:p w14:paraId="61A0F701" w14:textId="6CF9FB37" w:rsidR="00C7091C" w:rsidRDefault="002D3D94" w:rsidP="00A740FB">
      <w:pPr>
        <w:spacing w:after="180"/>
      </w:pPr>
      <w:r>
        <w:t>Start with the first statement.</w:t>
      </w: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D72B86" w:rsidRPr="00D72B86" w14:paraId="467E2EC1" w14:textId="77777777" w:rsidTr="00C7091C">
        <w:tc>
          <w:tcPr>
            <w:tcW w:w="9016" w:type="dxa"/>
          </w:tcPr>
          <w:p w14:paraId="26350677" w14:textId="1658D145" w:rsidR="00C7091C" w:rsidRPr="00C7091C" w:rsidRDefault="00D72B86" w:rsidP="00C7091C">
            <w:pPr>
              <w:spacing w:after="180"/>
              <w:jc w:val="center"/>
              <w:rPr>
                <w:sz w:val="24"/>
              </w:rPr>
            </w:pPr>
            <w:r w:rsidRPr="00C7091C">
              <w:rPr>
                <w:sz w:val="24"/>
              </w:rPr>
              <w:t>Water in the kettle is in the liquid state.</w:t>
            </w:r>
          </w:p>
          <w:p w14:paraId="652E9104" w14:textId="6860F358" w:rsidR="00D72B86" w:rsidRPr="00C7091C" w:rsidRDefault="00D72B86" w:rsidP="00C7091C">
            <w:pPr>
              <w:spacing w:after="180"/>
              <w:jc w:val="center"/>
              <w:rPr>
                <w:sz w:val="24"/>
              </w:rPr>
            </w:pPr>
          </w:p>
        </w:tc>
      </w:tr>
      <w:tr w:rsidR="00D72B86" w:rsidRPr="00D72B86" w14:paraId="7EBE1BA8" w14:textId="77777777" w:rsidTr="00C7091C">
        <w:tc>
          <w:tcPr>
            <w:tcW w:w="9016" w:type="dxa"/>
          </w:tcPr>
          <w:p w14:paraId="1CD82B6B" w14:textId="77777777" w:rsidR="00D72B86" w:rsidRPr="00C7091C" w:rsidRDefault="00D72B86" w:rsidP="00C7091C">
            <w:pPr>
              <w:spacing w:after="180"/>
              <w:jc w:val="center"/>
              <w:rPr>
                <w:sz w:val="24"/>
              </w:rPr>
            </w:pPr>
            <w:r w:rsidRPr="00C7091C">
              <w:rPr>
                <w:sz w:val="24"/>
              </w:rPr>
              <w:t>The water particles are able to move further apart.</w:t>
            </w:r>
          </w:p>
          <w:p w14:paraId="71D475F5" w14:textId="5B45B907" w:rsidR="00C7091C" w:rsidRPr="00C7091C" w:rsidRDefault="00C7091C" w:rsidP="00C7091C">
            <w:pPr>
              <w:spacing w:after="180"/>
              <w:jc w:val="center"/>
              <w:rPr>
                <w:sz w:val="24"/>
              </w:rPr>
            </w:pPr>
          </w:p>
        </w:tc>
      </w:tr>
      <w:tr w:rsidR="00D72B86" w:rsidRPr="00D72B86" w14:paraId="2272F6F6" w14:textId="77777777" w:rsidTr="00C7091C">
        <w:tc>
          <w:tcPr>
            <w:tcW w:w="9016" w:type="dxa"/>
          </w:tcPr>
          <w:p w14:paraId="0EB3EB6D" w14:textId="77777777" w:rsidR="00D72B86" w:rsidRPr="00C7091C" w:rsidRDefault="00D72B86" w:rsidP="00C7091C">
            <w:pPr>
              <w:spacing w:after="180"/>
              <w:jc w:val="center"/>
              <w:rPr>
                <w:sz w:val="24"/>
              </w:rPr>
            </w:pPr>
            <w:r w:rsidRPr="00C7091C">
              <w:rPr>
                <w:sz w:val="24"/>
              </w:rPr>
              <w:t>The water particles are very close together.</w:t>
            </w:r>
          </w:p>
          <w:p w14:paraId="5E37EC59" w14:textId="2C067499" w:rsidR="00C7091C" w:rsidRPr="00C7091C" w:rsidRDefault="00C7091C" w:rsidP="00C7091C">
            <w:pPr>
              <w:spacing w:after="180"/>
              <w:jc w:val="center"/>
              <w:rPr>
                <w:sz w:val="24"/>
              </w:rPr>
            </w:pPr>
          </w:p>
        </w:tc>
      </w:tr>
      <w:tr w:rsidR="00D72B86" w:rsidRPr="00D72B86" w14:paraId="52DC07AD" w14:textId="77777777" w:rsidTr="00C7091C">
        <w:tc>
          <w:tcPr>
            <w:tcW w:w="9016" w:type="dxa"/>
          </w:tcPr>
          <w:p w14:paraId="777B20AB" w14:textId="77777777" w:rsidR="00D72B86" w:rsidRPr="00C7091C" w:rsidRDefault="00D72B86" w:rsidP="00C7091C">
            <w:pPr>
              <w:spacing w:after="180"/>
              <w:jc w:val="center"/>
              <w:rPr>
                <w:sz w:val="24"/>
              </w:rPr>
            </w:pPr>
            <w:r w:rsidRPr="00C7091C">
              <w:rPr>
                <w:sz w:val="24"/>
              </w:rPr>
              <w:t>A group of water particles form a pocket of water in the gas state.</w:t>
            </w:r>
          </w:p>
          <w:p w14:paraId="2F791309" w14:textId="275B5FE8" w:rsidR="00C7091C" w:rsidRPr="00C7091C" w:rsidRDefault="00C7091C" w:rsidP="00C7091C">
            <w:pPr>
              <w:spacing w:after="180"/>
              <w:jc w:val="center"/>
              <w:rPr>
                <w:sz w:val="24"/>
              </w:rPr>
            </w:pPr>
          </w:p>
        </w:tc>
      </w:tr>
      <w:tr w:rsidR="00D72B86" w:rsidRPr="00D72B86" w14:paraId="7325F7C1" w14:textId="77777777" w:rsidTr="00C7091C">
        <w:tc>
          <w:tcPr>
            <w:tcW w:w="9016" w:type="dxa"/>
          </w:tcPr>
          <w:p w14:paraId="486FF5DF" w14:textId="6A646868" w:rsidR="00D72B86" w:rsidRPr="00C7091C" w:rsidRDefault="00D72B86" w:rsidP="00C7091C">
            <w:pPr>
              <w:spacing w:after="180"/>
              <w:jc w:val="center"/>
              <w:rPr>
                <w:sz w:val="24"/>
              </w:rPr>
            </w:pPr>
            <w:r w:rsidRPr="00C7091C">
              <w:rPr>
                <w:sz w:val="24"/>
              </w:rPr>
              <w:t>This creates a bubble within the water that is still in the liquid state.</w:t>
            </w:r>
          </w:p>
          <w:p w14:paraId="5E1F55A8" w14:textId="49A134B6" w:rsidR="00C7091C" w:rsidRPr="00C7091C" w:rsidRDefault="00C7091C" w:rsidP="00C7091C">
            <w:pPr>
              <w:spacing w:after="180"/>
              <w:jc w:val="center"/>
              <w:rPr>
                <w:sz w:val="24"/>
              </w:rPr>
            </w:pPr>
          </w:p>
        </w:tc>
      </w:tr>
      <w:tr w:rsidR="00D72B86" w:rsidRPr="00D72B86" w14:paraId="6777EEEF" w14:textId="77777777" w:rsidTr="00C7091C">
        <w:tc>
          <w:tcPr>
            <w:tcW w:w="9016" w:type="dxa"/>
          </w:tcPr>
          <w:p w14:paraId="29C8C5CB" w14:textId="77777777" w:rsidR="00D72B86" w:rsidRPr="00C7091C" w:rsidRDefault="00D72B86" w:rsidP="00C7091C">
            <w:pPr>
              <w:spacing w:after="180"/>
              <w:jc w:val="center"/>
              <w:rPr>
                <w:sz w:val="24"/>
              </w:rPr>
            </w:pPr>
            <w:r w:rsidRPr="00C7091C">
              <w:rPr>
                <w:sz w:val="24"/>
              </w:rPr>
              <w:t>When the kettle is switched on, the temperature of the water increases.</w:t>
            </w:r>
          </w:p>
          <w:p w14:paraId="129E8C45" w14:textId="0A3837FE" w:rsidR="00C7091C" w:rsidRPr="00C7091C" w:rsidRDefault="00C7091C" w:rsidP="00C7091C">
            <w:pPr>
              <w:spacing w:after="180"/>
              <w:jc w:val="center"/>
              <w:rPr>
                <w:sz w:val="24"/>
              </w:rPr>
            </w:pPr>
          </w:p>
        </w:tc>
      </w:tr>
    </w:tbl>
    <w:p w14:paraId="116A8E51" w14:textId="77777777" w:rsidR="00D72B86" w:rsidRDefault="00D72B86" w:rsidP="00A740FB">
      <w:pPr>
        <w:spacing w:after="180"/>
      </w:pPr>
    </w:p>
    <w:p w14:paraId="3A2FF097" w14:textId="77777777" w:rsidR="00A740FB" w:rsidRPr="005A7D83" w:rsidRDefault="00A740FB" w:rsidP="00A740FB">
      <w:pPr>
        <w:spacing w:after="180"/>
      </w:pPr>
    </w:p>
    <w:p w14:paraId="74FBFE5C" w14:textId="77777777" w:rsidR="00A740FB" w:rsidRPr="00201AC2" w:rsidRDefault="00A740FB" w:rsidP="00A740FB">
      <w:pPr>
        <w:spacing w:after="240"/>
        <w:rPr>
          <w:szCs w:val="18"/>
        </w:rPr>
        <w:sectPr w:rsidR="00A740FB" w:rsidRPr="00201AC2" w:rsidSect="00642E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51D4E697" w14:textId="7EE1577A" w:rsidR="00A740FB" w:rsidRPr="006F3279" w:rsidRDefault="00A740FB" w:rsidP="00A740FB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CPS: Particles</w:t>
      </w:r>
      <w:r w:rsidR="00C7091C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and </w:t>
      </w:r>
      <w:r w:rsidR="001410B5">
        <w:rPr>
          <w:i/>
          <w:sz w:val="18"/>
          <w:szCs w:val="18"/>
        </w:rPr>
        <w:t>structure</w:t>
      </w:r>
      <w:r>
        <w:rPr>
          <w:i/>
          <w:sz w:val="18"/>
          <w:szCs w:val="18"/>
        </w:rPr>
        <w:t xml:space="preserve"> &gt; Topic CPS1: </w:t>
      </w:r>
      <w:r w:rsidR="00026C34">
        <w:rPr>
          <w:i/>
          <w:sz w:val="18"/>
          <w:szCs w:val="18"/>
        </w:rPr>
        <w:t>Substances and mixtures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CPS1.1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Particle model for the solid liquid and gas states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4A4D03BD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659CC561" w14:textId="5E037B56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C7091C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02DB67BB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079539EA" w14:textId="4A946F12" w:rsidR="006F3279" w:rsidRPr="00CA4B46" w:rsidRDefault="00A740FB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Explaining bubbles during boiling</w:t>
            </w:r>
          </w:p>
        </w:tc>
      </w:tr>
    </w:tbl>
    <w:p w14:paraId="36271A5F" w14:textId="77777777" w:rsidR="006F3279" w:rsidRPr="006F3279" w:rsidRDefault="006F3279" w:rsidP="00E172C6">
      <w:pPr>
        <w:spacing w:after="180"/>
        <w:rPr>
          <w:b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D72B86" w14:paraId="2D597801" w14:textId="77777777" w:rsidTr="00C57F8F">
        <w:trPr>
          <w:trHeight w:val="340"/>
        </w:trPr>
        <w:tc>
          <w:tcPr>
            <w:tcW w:w="2196" w:type="dxa"/>
          </w:tcPr>
          <w:p w14:paraId="50FD948A" w14:textId="3888ED9B" w:rsidR="00D72B86" w:rsidRDefault="00D72B86" w:rsidP="00C57F8F">
            <w:pPr>
              <w:spacing w:before="60" w:after="60"/>
            </w:pPr>
            <w:r>
              <w:t xml:space="preserve">Learning </w:t>
            </w:r>
            <w:r w:rsidR="00C7091C">
              <w:t>focus</w:t>
            </w:r>
            <w:r>
              <w:t>:</w:t>
            </w:r>
          </w:p>
        </w:tc>
        <w:tc>
          <w:tcPr>
            <w:tcW w:w="6820" w:type="dxa"/>
          </w:tcPr>
          <w:p w14:paraId="2B3863CD" w14:textId="77777777" w:rsidR="00D72B86" w:rsidRDefault="00D72B86" w:rsidP="00C57F8F">
            <w:pPr>
              <w:spacing w:before="60" w:after="60"/>
            </w:pPr>
            <w:r w:rsidRPr="006E2B9B">
              <w:t>Understand a basic particle model of matter that can explain the properties of substances in the gas state.</w:t>
            </w:r>
          </w:p>
        </w:tc>
      </w:tr>
      <w:tr w:rsidR="00D72B86" w14:paraId="1F470B53" w14:textId="77777777" w:rsidTr="00C57F8F">
        <w:trPr>
          <w:trHeight w:val="340"/>
        </w:trPr>
        <w:tc>
          <w:tcPr>
            <w:tcW w:w="2196" w:type="dxa"/>
          </w:tcPr>
          <w:p w14:paraId="5C5D919B" w14:textId="77777777" w:rsidR="00D72B86" w:rsidRDefault="00D72B86" w:rsidP="00C57F8F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0CA7DFF2" w14:textId="77777777" w:rsidR="00D72B86" w:rsidRPr="00573118" w:rsidRDefault="00D72B86" w:rsidP="00C57F8F">
            <w:pPr>
              <w:spacing w:before="60" w:after="60"/>
            </w:pPr>
            <w:r w:rsidRPr="00573118">
              <w:t>Use the basic particle model to explain observations of boiling.</w:t>
            </w:r>
          </w:p>
        </w:tc>
      </w:tr>
      <w:tr w:rsidR="00D72B86" w14:paraId="5FF90D60" w14:textId="77777777" w:rsidTr="00C57F8F">
        <w:trPr>
          <w:trHeight w:val="340"/>
        </w:trPr>
        <w:tc>
          <w:tcPr>
            <w:tcW w:w="2196" w:type="dxa"/>
          </w:tcPr>
          <w:p w14:paraId="038A42C7" w14:textId="448EBA4E" w:rsidR="00D72B86" w:rsidRDefault="00C7091C" w:rsidP="00C57F8F">
            <w:pPr>
              <w:spacing w:before="60" w:after="60"/>
            </w:pPr>
            <w:r>
              <w:t>Activity</w:t>
            </w:r>
            <w:r w:rsidR="00D72B86">
              <w:t xml:space="preserve"> type:</w:t>
            </w:r>
          </w:p>
        </w:tc>
        <w:tc>
          <w:tcPr>
            <w:tcW w:w="6820" w:type="dxa"/>
          </w:tcPr>
          <w:p w14:paraId="6A3074AD" w14:textId="535C858A" w:rsidR="00D72B86" w:rsidRDefault="007113FC" w:rsidP="00C57F8F">
            <w:pPr>
              <w:spacing w:before="60" w:after="60"/>
            </w:pPr>
            <w:r>
              <w:t>s</w:t>
            </w:r>
            <w:r w:rsidR="00C7091C">
              <w:t>equencing explanation</w:t>
            </w:r>
          </w:p>
        </w:tc>
      </w:tr>
      <w:tr w:rsidR="00D72B86" w14:paraId="53785EEB" w14:textId="77777777" w:rsidTr="00C57F8F">
        <w:trPr>
          <w:trHeight w:val="340"/>
        </w:trPr>
        <w:tc>
          <w:tcPr>
            <w:tcW w:w="2196" w:type="dxa"/>
          </w:tcPr>
          <w:p w14:paraId="708317BB" w14:textId="77777777" w:rsidR="00D72B86" w:rsidRDefault="00D72B86" w:rsidP="00C57F8F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70324470" w14:textId="77777777" w:rsidR="00D72B86" w:rsidRDefault="00D72B86" w:rsidP="00C57F8F">
            <w:pPr>
              <w:spacing w:before="60" w:after="60"/>
            </w:pPr>
            <w:r>
              <w:t>liquid, gas, state, particle, boiling</w:t>
            </w:r>
          </w:p>
        </w:tc>
      </w:tr>
    </w:tbl>
    <w:p w14:paraId="1B2CFA13" w14:textId="638B2FE6" w:rsidR="00F72ECC" w:rsidRDefault="00F72ECC" w:rsidP="00F72ECC"/>
    <w:p w14:paraId="7D24DEA9" w14:textId="6DF7BA22" w:rsidR="00DE5A35" w:rsidRDefault="00DE5A35" w:rsidP="00DE5A35">
      <w:pPr>
        <w:spacing w:after="180"/>
      </w:pPr>
      <w:r>
        <w:t xml:space="preserve">This activity can help develop students’ understanding by addressing the </w:t>
      </w:r>
      <w:r w:rsidR="007113FC">
        <w:t>misunderstandings</w:t>
      </w:r>
      <w:r>
        <w:t xml:space="preserve"> revealed by the following diagnostic question:</w:t>
      </w:r>
    </w:p>
    <w:p w14:paraId="0A7EF70E" w14:textId="08ED1C3C" w:rsidR="00DE5A35" w:rsidRPr="00DE5A35" w:rsidRDefault="00DE5A35" w:rsidP="00DE5A35">
      <w:pPr>
        <w:pStyle w:val="ListParagraph"/>
        <w:numPr>
          <w:ilvl w:val="0"/>
          <w:numId w:val="1"/>
        </w:numPr>
        <w:spacing w:after="180"/>
      </w:pPr>
      <w:r w:rsidRPr="00DE5A35">
        <w:t>Bubbles during boiling</w:t>
      </w:r>
    </w:p>
    <w:p w14:paraId="6DB96A03" w14:textId="77777777" w:rsidR="00DE5A35" w:rsidRDefault="00DE5A35" w:rsidP="00F72ECC"/>
    <w:p w14:paraId="27827AB4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783C9175" w14:textId="77777777" w:rsidR="00C7091C" w:rsidRDefault="00C7091C" w:rsidP="00C7091C">
      <w:pPr>
        <w:spacing w:after="180"/>
      </w:pPr>
      <w:bookmarkStart w:id="1" w:name="_Hlk508101216"/>
      <w:r>
        <w:t xml:space="preserve">Research by Johnson and Papageorgiou (2010) included a question about the bubbles in boiling water. </w:t>
      </w:r>
    </w:p>
    <w:p w14:paraId="46A5296B" w14:textId="77777777" w:rsidR="00C7091C" w:rsidRDefault="00C7091C" w:rsidP="00C7091C">
      <w:pPr>
        <w:spacing w:after="180"/>
      </w:pPr>
      <w:r>
        <w:t>In order to understand the formation of bubbles during boiling students need to understand that a sample of water can change into a body of gas and that this gas is still the substance water. They should then recognise that a bubble formed during boiling consists of water particles that are further apart inside the bubble than in the surrounding liquid.</w:t>
      </w:r>
    </w:p>
    <w:p w14:paraId="4932C7B6" w14:textId="77777777" w:rsidR="00C7091C" w:rsidRDefault="00C7091C" w:rsidP="00C7091C">
      <w:pPr>
        <w:spacing w:after="180"/>
      </w:pPr>
      <w:r>
        <w:t>Some students in the study recognised that the bubbles were made of a ‘gas’ but were unclear as to the identity of that gas. They struggled with idea that the ‘gas’ could actually be water.</w:t>
      </w:r>
    </w:p>
    <w:bookmarkEnd w:id="1"/>
    <w:p w14:paraId="3E359EB5" w14:textId="30DE4594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 xml:space="preserve">Ways to use this </w:t>
      </w:r>
      <w:r w:rsidR="00C7091C">
        <w:rPr>
          <w:b/>
          <w:color w:val="E36C0A" w:themeColor="accent6" w:themeShade="BF"/>
          <w:sz w:val="24"/>
        </w:rPr>
        <w:t>activity</w:t>
      </w:r>
    </w:p>
    <w:p w14:paraId="5C017B50" w14:textId="34AE1346" w:rsidR="00C7091C" w:rsidRDefault="00C7091C" w:rsidP="00C7091C">
      <w:pPr>
        <w:spacing w:after="180"/>
      </w:pPr>
      <w:r>
        <w:t>S</w:t>
      </w:r>
      <w:r w:rsidRPr="00DA3B6C">
        <w:t xml:space="preserve">tudents </w:t>
      </w:r>
      <w:r>
        <w:t>should complete the sequencing activity in pairs or small groups, and the focus should be on the discussions.  The statements are also provided as cut-out cards for students to physically organise.  Alternatively, students could number the statements.</w:t>
      </w:r>
    </w:p>
    <w:p w14:paraId="3FE48527" w14:textId="0FCB9E92" w:rsidR="00C7091C" w:rsidRDefault="00C7091C" w:rsidP="00C7091C">
      <w:r>
        <w:t xml:space="preserve">Listening in to the conversations of each group will often give you insights into how your students are thinking.  Each member of a group should be able to explain why the statements were put in the chosen order.  </w:t>
      </w:r>
    </w:p>
    <w:p w14:paraId="118EF6C6" w14:textId="77777777" w:rsidR="00C7091C" w:rsidRDefault="00C7091C" w:rsidP="00C7091C"/>
    <w:p w14:paraId="3CD501E2" w14:textId="77777777" w:rsidR="00C7091C" w:rsidRPr="00E7124B" w:rsidRDefault="00C7091C" w:rsidP="00C7091C">
      <w:pPr>
        <w:rPr>
          <w:i/>
        </w:rPr>
      </w:pPr>
      <w:r w:rsidRPr="00E7124B">
        <w:rPr>
          <w:i/>
        </w:rPr>
        <w:t>Differentiation</w:t>
      </w:r>
    </w:p>
    <w:p w14:paraId="5AEEB8C5" w14:textId="758C019E" w:rsidR="00C7091C" w:rsidRDefault="00C57F8F" w:rsidP="007A748B">
      <w:pPr>
        <w:spacing w:after="180"/>
      </w:pPr>
      <w:r>
        <w:t xml:space="preserve">It may help some students to carry out this activity as part of a demonstration of water boiling. </w:t>
      </w:r>
      <w:r w:rsidR="002157EE">
        <w:t>This could be used to support students in linking macroscopic observations with a sub-microscopic explanation in terms of the particle model</w:t>
      </w:r>
      <w:r w:rsidR="00C7091C">
        <w:t>.</w:t>
      </w:r>
    </w:p>
    <w:p w14:paraId="4DEB9D6B" w14:textId="77777777" w:rsidR="00C7091C" w:rsidRDefault="00C7091C" w:rsidP="00026DEC">
      <w:pPr>
        <w:spacing w:after="180"/>
        <w:rPr>
          <w:b/>
          <w:color w:val="E36C0A" w:themeColor="accent6" w:themeShade="BF"/>
          <w:sz w:val="24"/>
        </w:rPr>
      </w:pPr>
    </w:p>
    <w:p w14:paraId="03588870" w14:textId="77777777" w:rsidR="00C7091C" w:rsidRDefault="00C7091C" w:rsidP="00026DEC">
      <w:pPr>
        <w:spacing w:after="180"/>
        <w:rPr>
          <w:b/>
          <w:color w:val="E36C0A" w:themeColor="accent6" w:themeShade="BF"/>
          <w:sz w:val="24"/>
        </w:rPr>
      </w:pPr>
    </w:p>
    <w:p w14:paraId="4A7ACCA9" w14:textId="77777777" w:rsidR="00C7091C" w:rsidRDefault="00C7091C" w:rsidP="00026DEC">
      <w:pPr>
        <w:spacing w:after="180"/>
        <w:rPr>
          <w:b/>
          <w:color w:val="E36C0A" w:themeColor="accent6" w:themeShade="BF"/>
          <w:sz w:val="24"/>
        </w:rPr>
      </w:pPr>
    </w:p>
    <w:p w14:paraId="7C37B6FB" w14:textId="77777777" w:rsidR="00C7091C" w:rsidRDefault="00C7091C" w:rsidP="00026DEC">
      <w:pPr>
        <w:spacing w:after="180"/>
        <w:rPr>
          <w:b/>
          <w:color w:val="E36C0A" w:themeColor="accent6" w:themeShade="BF"/>
          <w:sz w:val="24"/>
        </w:rPr>
      </w:pPr>
    </w:p>
    <w:p w14:paraId="7002F813" w14:textId="77777777" w:rsidR="00C7091C" w:rsidRDefault="00C7091C" w:rsidP="00026DEC">
      <w:pPr>
        <w:spacing w:after="180"/>
        <w:rPr>
          <w:b/>
          <w:color w:val="E36C0A" w:themeColor="accent6" w:themeShade="BF"/>
          <w:sz w:val="24"/>
        </w:rPr>
      </w:pPr>
    </w:p>
    <w:p w14:paraId="69392787" w14:textId="0073A80F" w:rsidR="00E172C6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57F8F" w:rsidRPr="00D72B86" w14:paraId="5C5C1456" w14:textId="77777777" w:rsidTr="00C57F8F">
        <w:tc>
          <w:tcPr>
            <w:tcW w:w="9016" w:type="dxa"/>
          </w:tcPr>
          <w:p w14:paraId="638ABC06" w14:textId="0D8DC9DB" w:rsidR="00C57F8F" w:rsidRPr="00D72B86" w:rsidRDefault="00C57F8F" w:rsidP="00C57F8F">
            <w:pPr>
              <w:spacing w:after="180"/>
            </w:pPr>
            <w:r w:rsidRPr="00D72B86">
              <w:t>Water in the kettle is in the liquid state</w:t>
            </w:r>
            <w:r w:rsidR="002157EE">
              <w:t>.</w:t>
            </w:r>
          </w:p>
        </w:tc>
      </w:tr>
      <w:tr w:rsidR="00C57F8F" w:rsidRPr="00D72B86" w14:paraId="303C97AA" w14:textId="77777777" w:rsidTr="00C57F8F">
        <w:tc>
          <w:tcPr>
            <w:tcW w:w="9016" w:type="dxa"/>
          </w:tcPr>
          <w:p w14:paraId="5384FF22" w14:textId="7BD11CF7" w:rsidR="00C57F8F" w:rsidRPr="00D72B86" w:rsidRDefault="00C57F8F" w:rsidP="00C57F8F">
            <w:pPr>
              <w:spacing w:after="180"/>
            </w:pPr>
            <w:r w:rsidRPr="00D72B86">
              <w:t>The water particles are very close together.</w:t>
            </w:r>
          </w:p>
        </w:tc>
      </w:tr>
      <w:tr w:rsidR="00C57F8F" w:rsidRPr="00D72B86" w14:paraId="6B2D83BC" w14:textId="77777777" w:rsidTr="00C57F8F">
        <w:tc>
          <w:tcPr>
            <w:tcW w:w="9016" w:type="dxa"/>
          </w:tcPr>
          <w:p w14:paraId="1F932635" w14:textId="4F41022A" w:rsidR="00C57F8F" w:rsidRPr="00D72B86" w:rsidRDefault="00C57F8F" w:rsidP="00C57F8F">
            <w:pPr>
              <w:spacing w:after="180"/>
            </w:pPr>
            <w:r w:rsidRPr="00D72B86">
              <w:t>When the kettle is switched on, the temperature of the water increases.</w:t>
            </w:r>
          </w:p>
        </w:tc>
      </w:tr>
      <w:tr w:rsidR="00C57F8F" w:rsidRPr="00D72B86" w14:paraId="132C95F5" w14:textId="77777777" w:rsidTr="00C57F8F">
        <w:tc>
          <w:tcPr>
            <w:tcW w:w="9016" w:type="dxa"/>
          </w:tcPr>
          <w:p w14:paraId="4C23C440" w14:textId="377A1F90" w:rsidR="00C57F8F" w:rsidRPr="00D72B86" w:rsidRDefault="00C57F8F" w:rsidP="00C57F8F">
            <w:pPr>
              <w:spacing w:after="180"/>
            </w:pPr>
            <w:r w:rsidRPr="00D72B86">
              <w:t>The water particles are able to move further apart.</w:t>
            </w:r>
          </w:p>
        </w:tc>
      </w:tr>
      <w:tr w:rsidR="00C57F8F" w:rsidRPr="00D72B86" w14:paraId="755D9904" w14:textId="77777777" w:rsidTr="00C57F8F">
        <w:tc>
          <w:tcPr>
            <w:tcW w:w="9016" w:type="dxa"/>
          </w:tcPr>
          <w:p w14:paraId="30818F27" w14:textId="6624FA1C" w:rsidR="00C57F8F" w:rsidRPr="00D72B86" w:rsidRDefault="00C57F8F" w:rsidP="00C57F8F">
            <w:pPr>
              <w:spacing w:after="180"/>
            </w:pPr>
            <w:r w:rsidRPr="00D72B86">
              <w:t>A group of water particles form a pocket of water in the gas state.</w:t>
            </w:r>
          </w:p>
        </w:tc>
      </w:tr>
      <w:tr w:rsidR="00C57F8F" w:rsidRPr="00D72B86" w14:paraId="59A96716" w14:textId="77777777" w:rsidTr="00C57F8F">
        <w:tc>
          <w:tcPr>
            <w:tcW w:w="9016" w:type="dxa"/>
          </w:tcPr>
          <w:p w14:paraId="22C42418" w14:textId="3D1C417F" w:rsidR="00C57F8F" w:rsidRPr="00D72B86" w:rsidRDefault="00C57F8F" w:rsidP="00C57F8F">
            <w:pPr>
              <w:spacing w:after="180"/>
            </w:pPr>
            <w:r w:rsidRPr="00D72B86">
              <w:t>This creates a bubble within the water that is still in the liquid state.</w:t>
            </w:r>
          </w:p>
        </w:tc>
      </w:tr>
    </w:tbl>
    <w:p w14:paraId="0C560AD6" w14:textId="77777777" w:rsidR="00C57F8F" w:rsidRPr="001C2E59" w:rsidRDefault="00C57F8F" w:rsidP="00026DEC">
      <w:pPr>
        <w:spacing w:after="180"/>
        <w:rPr>
          <w:b/>
          <w:color w:val="E36C0A" w:themeColor="accent6" w:themeShade="BF"/>
          <w:sz w:val="24"/>
        </w:rPr>
      </w:pPr>
    </w:p>
    <w:p w14:paraId="496240ED" w14:textId="77777777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5961A43B" w14:textId="3E648EC9"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C57F8F">
        <w:t>Helen Harden</w:t>
      </w:r>
      <w:r w:rsidR="0015356E">
        <w:t xml:space="preserve"> (UYSEG)</w:t>
      </w:r>
    </w:p>
    <w:p w14:paraId="11E64700" w14:textId="7732D360" w:rsidR="00CC78A5" w:rsidRDefault="00D278E8" w:rsidP="00E172C6">
      <w:pPr>
        <w:spacing w:after="180"/>
      </w:pPr>
      <w:r w:rsidRPr="0045323E">
        <w:t xml:space="preserve">Images: </w:t>
      </w:r>
      <w:r w:rsidR="00C57F8F">
        <w:t>None</w:t>
      </w:r>
    </w:p>
    <w:p w14:paraId="4A3E7D20" w14:textId="77777777" w:rsidR="003117F6" w:rsidRPr="001C2E59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References</w:t>
      </w:r>
    </w:p>
    <w:p w14:paraId="5EC1DF03" w14:textId="77777777" w:rsidR="00C57F8F" w:rsidRDefault="00C57F8F" w:rsidP="00C57F8F">
      <w:pPr>
        <w:spacing w:after="180"/>
      </w:pPr>
      <w:r>
        <w:t xml:space="preserve">Johnson, P. and Papageorgiou, G. (2010). </w:t>
      </w:r>
      <w:r w:rsidRPr="00DC02AA">
        <w:t>Rethinking the Introduction of Particle Theory: A Substance-based framework</w:t>
      </w:r>
      <w:r>
        <w:t xml:space="preserve">. </w:t>
      </w:r>
      <w:r w:rsidRPr="00774666">
        <w:rPr>
          <w:i/>
        </w:rPr>
        <w:t>Journal of Research in Science Teaching</w:t>
      </w:r>
      <w:r>
        <w:rPr>
          <w:i/>
        </w:rPr>
        <w:t>.</w:t>
      </w:r>
      <w:r w:rsidRPr="00774666">
        <w:rPr>
          <w:i/>
        </w:rPr>
        <w:t xml:space="preserve"> </w:t>
      </w:r>
      <w:r>
        <w:t>42(2) 130-150</w:t>
      </w:r>
    </w:p>
    <w:p w14:paraId="5A532252" w14:textId="086D28C6" w:rsidR="00B46FF9" w:rsidRDefault="00B46FF9" w:rsidP="00C57F8F">
      <w:pPr>
        <w:spacing w:after="180"/>
      </w:pPr>
    </w:p>
    <w:sectPr w:rsidR="00B46FF9" w:rsidSect="00642ECD">
      <w:headerReference w:type="default" r:id="rId13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A03FF" w14:textId="77777777" w:rsidR="00A320BC" w:rsidRDefault="00A320BC" w:rsidP="000B473B">
      <w:r>
        <w:separator/>
      </w:r>
    </w:p>
  </w:endnote>
  <w:endnote w:type="continuationSeparator" w:id="0">
    <w:p w14:paraId="6C10E9E3" w14:textId="77777777" w:rsidR="00A320BC" w:rsidRDefault="00A320B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44054" w14:textId="77777777" w:rsidR="00C7091C" w:rsidRDefault="00C709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8CA15" w14:textId="5923F0CC" w:rsidR="00C57F8F" w:rsidRDefault="00C57F8F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8480" behindDoc="0" locked="0" layoutInCell="1" allowOverlap="1" wp14:anchorId="348AB3F9" wp14:editId="48271F77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6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3DADF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AA3F96">
      <w:rPr>
        <w:noProof/>
      </w:rPr>
      <w:t>1</w:t>
    </w:r>
    <w:r>
      <w:rPr>
        <w:noProof/>
      </w:rPr>
      <w:fldChar w:fldCharType="end"/>
    </w:r>
  </w:p>
  <w:p w14:paraId="550D7745" w14:textId="77777777" w:rsidR="00C57F8F" w:rsidRDefault="00C57F8F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item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00A584A3" w14:textId="77777777" w:rsidR="00C57F8F" w:rsidRPr="00201AC2" w:rsidRDefault="00C57F8F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906F2" w14:textId="77777777" w:rsidR="00C7091C" w:rsidRDefault="00C709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A067B" w14:textId="77777777" w:rsidR="00A320BC" w:rsidRDefault="00A320BC" w:rsidP="000B473B">
      <w:r>
        <w:separator/>
      </w:r>
    </w:p>
  </w:footnote>
  <w:footnote w:type="continuationSeparator" w:id="0">
    <w:p w14:paraId="210A1050" w14:textId="77777777" w:rsidR="00A320BC" w:rsidRDefault="00A320B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BDDA6" w14:textId="77777777" w:rsidR="00C7091C" w:rsidRDefault="00C70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03E0B" w14:textId="77777777" w:rsidR="00C57F8F" w:rsidRPr="004E5592" w:rsidRDefault="00C57F8F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6432" behindDoc="0" locked="0" layoutInCell="1" allowOverlap="1" wp14:anchorId="293D0DF4" wp14:editId="264D0583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7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73D92B15" wp14:editId="6D56C32E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B82A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6yx4y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STUDENT WORKSHEET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C2258" w14:textId="77777777" w:rsidR="00C7091C" w:rsidRDefault="00C7091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78954" w14:textId="77777777" w:rsidR="00C57F8F" w:rsidRPr="004E5592" w:rsidRDefault="00C57F8F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65349090" wp14:editId="2C9AE378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4D152F6F" wp14:editId="40C9A20C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0916E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4F1"/>
    <w:rsid w:val="00015578"/>
    <w:rsid w:val="00024731"/>
    <w:rsid w:val="00026C34"/>
    <w:rsid w:val="00026DEC"/>
    <w:rsid w:val="000505CA"/>
    <w:rsid w:val="0007651D"/>
    <w:rsid w:val="0009086A"/>
    <w:rsid w:val="0009089A"/>
    <w:rsid w:val="000947E2"/>
    <w:rsid w:val="00095E04"/>
    <w:rsid w:val="000B473B"/>
    <w:rsid w:val="000D0E89"/>
    <w:rsid w:val="000E2689"/>
    <w:rsid w:val="001410B5"/>
    <w:rsid w:val="00142613"/>
    <w:rsid w:val="00144DA7"/>
    <w:rsid w:val="0015356E"/>
    <w:rsid w:val="00161D3F"/>
    <w:rsid w:val="001915D4"/>
    <w:rsid w:val="00194675"/>
    <w:rsid w:val="001A1FED"/>
    <w:rsid w:val="001A40E2"/>
    <w:rsid w:val="001C2E59"/>
    <w:rsid w:val="001C4805"/>
    <w:rsid w:val="00201AC2"/>
    <w:rsid w:val="00214608"/>
    <w:rsid w:val="002157EE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D3D94"/>
    <w:rsid w:val="002F41B2"/>
    <w:rsid w:val="00301AA9"/>
    <w:rsid w:val="003117F6"/>
    <w:rsid w:val="003533B8"/>
    <w:rsid w:val="003752BE"/>
    <w:rsid w:val="00380AC2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D0D83"/>
    <w:rsid w:val="004D159B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113FC"/>
    <w:rsid w:val="00722F9A"/>
    <w:rsid w:val="00754539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37318"/>
    <w:rsid w:val="008450D6"/>
    <w:rsid w:val="00856FCA"/>
    <w:rsid w:val="00873B8C"/>
    <w:rsid w:val="00880E3B"/>
    <w:rsid w:val="008A405F"/>
    <w:rsid w:val="008C7F34"/>
    <w:rsid w:val="008E580C"/>
    <w:rsid w:val="0090047A"/>
    <w:rsid w:val="009158ED"/>
    <w:rsid w:val="00925026"/>
    <w:rsid w:val="00931264"/>
    <w:rsid w:val="00942A4B"/>
    <w:rsid w:val="00955AB6"/>
    <w:rsid w:val="00961D59"/>
    <w:rsid w:val="009B2D55"/>
    <w:rsid w:val="009C0343"/>
    <w:rsid w:val="009E0D11"/>
    <w:rsid w:val="00A24A16"/>
    <w:rsid w:val="00A320BC"/>
    <w:rsid w:val="00A37D14"/>
    <w:rsid w:val="00A6111E"/>
    <w:rsid w:val="00A6168B"/>
    <w:rsid w:val="00A62028"/>
    <w:rsid w:val="00A740FB"/>
    <w:rsid w:val="00AA3F96"/>
    <w:rsid w:val="00AA6236"/>
    <w:rsid w:val="00AB326B"/>
    <w:rsid w:val="00AB6AE7"/>
    <w:rsid w:val="00AD21F5"/>
    <w:rsid w:val="00B06225"/>
    <w:rsid w:val="00B150D6"/>
    <w:rsid w:val="00B23B31"/>
    <w:rsid w:val="00B23C7A"/>
    <w:rsid w:val="00B305F5"/>
    <w:rsid w:val="00B46FF9"/>
    <w:rsid w:val="00B75483"/>
    <w:rsid w:val="00BA7952"/>
    <w:rsid w:val="00BB44B4"/>
    <w:rsid w:val="00BE1BA5"/>
    <w:rsid w:val="00BF0BBF"/>
    <w:rsid w:val="00BF6C8A"/>
    <w:rsid w:val="00C05571"/>
    <w:rsid w:val="00C246CE"/>
    <w:rsid w:val="00C57F8F"/>
    <w:rsid w:val="00C57FA2"/>
    <w:rsid w:val="00C7091C"/>
    <w:rsid w:val="00C80257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B86"/>
    <w:rsid w:val="00D72FEF"/>
    <w:rsid w:val="00D755FA"/>
    <w:rsid w:val="00DA0BBB"/>
    <w:rsid w:val="00DC3D50"/>
    <w:rsid w:val="00DC4A4E"/>
    <w:rsid w:val="00DD1874"/>
    <w:rsid w:val="00DD63BD"/>
    <w:rsid w:val="00DE5A35"/>
    <w:rsid w:val="00E074F1"/>
    <w:rsid w:val="00E1544D"/>
    <w:rsid w:val="00E172C6"/>
    <w:rsid w:val="00E24309"/>
    <w:rsid w:val="00E53D82"/>
    <w:rsid w:val="00E9330A"/>
    <w:rsid w:val="00EE6B97"/>
    <w:rsid w:val="00F12C3B"/>
    <w:rsid w:val="00F26884"/>
    <w:rsid w:val="00F72ECC"/>
    <w:rsid w:val="00F8355F"/>
    <w:rsid w:val="00FA3196"/>
    <w:rsid w:val="00FC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6E334C"/>
  <w15:docId w15:val="{29B11857-3D9D-4801-88CB-B20E1EFF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72B8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4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120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10</cp:revision>
  <cp:lastPrinted>2017-02-24T16:20:00Z</cp:lastPrinted>
  <dcterms:created xsi:type="dcterms:W3CDTF">2018-03-06T10:17:00Z</dcterms:created>
  <dcterms:modified xsi:type="dcterms:W3CDTF">2018-06-15T15:53:00Z</dcterms:modified>
</cp:coreProperties>
</file>